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22641D07" w:rsidR="007E1695" w:rsidRPr="00006470" w:rsidRDefault="00102B2C">
            <w:pPr>
              <w:jc w:val="center"/>
              <w:rPr>
                <w:rFonts w:ascii="Times New Roman" w:hAnsi="Times New Roman" w:cs="Times New Roman"/>
                <w:b/>
                <w:sz w:val="32"/>
                <w:szCs w:val="32"/>
              </w:rPr>
            </w:pPr>
            <w:bookmarkStart w:id="0" w:name="_GoBack"/>
            <w:r>
              <w:rPr>
                <w:rFonts w:ascii="Times New Roman" w:hAnsi="Times New Roman" w:cs="Times New Roman" w:hint="eastAsia"/>
                <w:b/>
                <w:sz w:val="32"/>
                <w:szCs w:val="32"/>
              </w:rPr>
              <w:t>社融数据超预期，</w:t>
            </w:r>
            <w:r w:rsidR="00B37359">
              <w:rPr>
                <w:rFonts w:ascii="Times New Roman" w:hAnsi="Times New Roman" w:cs="Times New Roman" w:hint="eastAsia"/>
                <w:b/>
                <w:sz w:val="32"/>
                <w:szCs w:val="32"/>
              </w:rPr>
              <w:t>周期表现靠前</w:t>
            </w:r>
            <w:bookmarkEnd w:id="0"/>
            <w:r w:rsidR="00470117" w:rsidRPr="00102B2C">
              <w:rPr>
                <w:rFonts w:ascii="Times New Roman" w:hAnsi="Times New Roman" w:cs="Times New Roman" w:hint="eastAsia"/>
                <w:b/>
                <w:sz w:val="32"/>
                <w:szCs w:val="32"/>
              </w:rPr>
              <w:t xml:space="preserve"> </w:t>
            </w:r>
            <w:r w:rsidR="007378A4" w:rsidRPr="00102B2C">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D127E3">
              <w:rPr>
                <w:rFonts w:ascii="Times New Roman" w:hAnsi="Times New Roman" w:cs="Times New Roman" w:hint="eastAsia"/>
                <w:b/>
                <w:sz w:val="32"/>
                <w:szCs w:val="32"/>
              </w:rPr>
              <w:t>3</w:t>
            </w:r>
            <w:r w:rsidR="002A4D0D">
              <w:rPr>
                <w:rFonts w:ascii="Times New Roman" w:hAnsi="Times New Roman" w:cs="Times New Roman" w:hint="eastAsia"/>
                <w:b/>
                <w:sz w:val="32"/>
                <w:szCs w:val="32"/>
              </w:rPr>
              <w:t>.</w:t>
            </w:r>
            <w:r w:rsidR="00487E29">
              <w:rPr>
                <w:rFonts w:ascii="Times New Roman" w:hAnsi="Times New Roman" w:cs="Times New Roman" w:hint="eastAsia"/>
                <w:b/>
                <w:sz w:val="32"/>
                <w:szCs w:val="32"/>
              </w:rPr>
              <w:t>8</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D127E3">
              <w:rPr>
                <w:rFonts w:ascii="Times New Roman" w:hAnsi="Times New Roman" w:cs="Times New Roman"/>
                <w:b/>
                <w:sz w:val="32"/>
                <w:szCs w:val="32"/>
              </w:rPr>
              <w:t>3</w:t>
            </w:r>
            <w:r w:rsidR="0017516B" w:rsidRPr="00006470">
              <w:rPr>
                <w:rFonts w:ascii="Times New Roman" w:hAnsi="Times New Roman" w:cs="Times New Roman"/>
                <w:b/>
                <w:sz w:val="32"/>
                <w:szCs w:val="32"/>
              </w:rPr>
              <w:t>.</w:t>
            </w:r>
            <w:r w:rsidR="00487E29">
              <w:rPr>
                <w:rFonts w:ascii="Times New Roman" w:hAnsi="Times New Roman" w:cs="Times New Roman" w:hint="eastAsia"/>
                <w:b/>
                <w:sz w:val="32"/>
                <w:szCs w:val="32"/>
              </w:rPr>
              <w:t>14</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732FB939" w:rsidR="002D1026" w:rsidRPr="00006470" w:rsidRDefault="007378A4" w:rsidP="002D1026">
      <w:pPr>
        <w:pStyle w:val="3"/>
        <w:rPr>
          <w:rFonts w:ascii="Times New Roman" w:eastAsia="楷体" w:hAnsi="Times New Roman" w:cs="Times New Roman"/>
          <w:sz w:val="24"/>
        </w:rPr>
      </w:pPr>
      <w:bookmarkStart w:id="1"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proofErr w:type="gramStart"/>
      <w:r w:rsidR="00026688">
        <w:rPr>
          <w:rFonts w:ascii="Times New Roman" w:eastAsia="楷体" w:hAnsi="Times New Roman" w:cs="Times New Roman" w:hint="eastAsia"/>
          <w:sz w:val="24"/>
        </w:rPr>
        <w:t>社融数据超</w:t>
      </w:r>
      <w:proofErr w:type="gramEnd"/>
      <w:r w:rsidR="00026688">
        <w:rPr>
          <w:rFonts w:ascii="Times New Roman" w:eastAsia="楷体" w:hAnsi="Times New Roman" w:cs="Times New Roman" w:hint="eastAsia"/>
          <w:sz w:val="24"/>
        </w:rPr>
        <w:t>预期</w:t>
      </w:r>
    </w:p>
    <w:bookmarkEnd w:id="1"/>
    <w:p w14:paraId="6F42B62F" w14:textId="08B446F6" w:rsidR="00ED0B50" w:rsidRDefault="00026688" w:rsidP="00490477">
      <w:pPr>
        <w:ind w:firstLineChars="200" w:firstLine="480"/>
        <w:rPr>
          <w:rFonts w:ascii="Times New Roman" w:eastAsia="楷体" w:hAnsi="Times New Roman" w:cs="Times New Roman"/>
          <w:color w:val="000000" w:themeColor="text1"/>
        </w:rPr>
      </w:pPr>
      <w:r w:rsidRPr="00026688">
        <w:rPr>
          <w:rFonts w:ascii="Times New Roman" w:eastAsia="楷体" w:hAnsi="Times New Roman" w:cs="Times New Roman" w:hint="eastAsia"/>
          <w:color w:val="000000" w:themeColor="text1"/>
        </w:rPr>
        <w:t>2</w:t>
      </w:r>
      <w:r w:rsidRPr="00026688">
        <w:rPr>
          <w:rFonts w:ascii="Times New Roman" w:eastAsia="楷体" w:hAnsi="Times New Roman" w:cs="Times New Roman" w:hint="eastAsia"/>
          <w:color w:val="000000" w:themeColor="text1"/>
        </w:rPr>
        <w:t>月我国新增人民币贷款</w:t>
      </w:r>
      <w:r w:rsidRPr="00026688">
        <w:rPr>
          <w:rFonts w:ascii="Times New Roman" w:eastAsia="楷体" w:hAnsi="Times New Roman" w:cs="Times New Roman" w:hint="eastAsia"/>
          <w:color w:val="000000" w:themeColor="text1"/>
        </w:rPr>
        <w:t>1.36</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（预期值</w:t>
      </w:r>
      <w:r w:rsidRPr="00026688">
        <w:rPr>
          <w:rFonts w:ascii="Times New Roman" w:eastAsia="楷体" w:hAnsi="Times New Roman" w:cs="Times New Roman" w:hint="eastAsia"/>
          <w:color w:val="000000" w:themeColor="text1"/>
        </w:rPr>
        <w:t>0.92</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w:t>
      </w:r>
      <w:proofErr w:type="gramStart"/>
      <w:r w:rsidRPr="00026688">
        <w:rPr>
          <w:rFonts w:ascii="Times New Roman" w:eastAsia="楷体" w:hAnsi="Times New Roman" w:cs="Times New Roman" w:hint="eastAsia"/>
          <w:color w:val="000000" w:themeColor="text1"/>
        </w:rPr>
        <w:t>新增社融</w:t>
      </w:r>
      <w:proofErr w:type="gramEnd"/>
      <w:r w:rsidRPr="00026688">
        <w:rPr>
          <w:rFonts w:ascii="Times New Roman" w:eastAsia="楷体" w:hAnsi="Times New Roman" w:cs="Times New Roman" w:hint="eastAsia"/>
          <w:color w:val="000000" w:themeColor="text1"/>
        </w:rPr>
        <w:t>1.71</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（预期值</w:t>
      </w:r>
      <w:r w:rsidRPr="00026688">
        <w:rPr>
          <w:rFonts w:ascii="Times New Roman" w:eastAsia="楷体" w:hAnsi="Times New Roman" w:cs="Times New Roman" w:hint="eastAsia"/>
          <w:color w:val="000000" w:themeColor="text1"/>
        </w:rPr>
        <w:t>1.07</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w:t>
      </w:r>
      <w:r w:rsidRPr="00026688">
        <w:rPr>
          <w:rFonts w:ascii="Times New Roman" w:eastAsia="楷体" w:hAnsi="Times New Roman" w:cs="Times New Roman" w:hint="eastAsia"/>
          <w:color w:val="000000" w:themeColor="text1"/>
        </w:rPr>
        <w:t>M2</w:t>
      </w:r>
      <w:r w:rsidRPr="00026688">
        <w:rPr>
          <w:rFonts w:ascii="Times New Roman" w:eastAsia="楷体" w:hAnsi="Times New Roman" w:cs="Times New Roman" w:hint="eastAsia"/>
          <w:color w:val="000000" w:themeColor="text1"/>
        </w:rPr>
        <w:t>同比增长</w:t>
      </w:r>
      <w:r w:rsidRPr="00026688">
        <w:rPr>
          <w:rFonts w:ascii="Times New Roman" w:eastAsia="楷体" w:hAnsi="Times New Roman" w:cs="Times New Roman" w:hint="eastAsia"/>
          <w:color w:val="000000" w:themeColor="text1"/>
        </w:rPr>
        <w:t>10.1%</w:t>
      </w:r>
      <w:r w:rsidRPr="00026688">
        <w:rPr>
          <w:rFonts w:ascii="Times New Roman" w:eastAsia="楷体" w:hAnsi="Times New Roman" w:cs="Times New Roman" w:hint="eastAsia"/>
          <w:color w:val="000000" w:themeColor="text1"/>
        </w:rPr>
        <w:t>（预期值</w:t>
      </w:r>
      <w:r w:rsidRPr="00026688">
        <w:rPr>
          <w:rFonts w:ascii="Times New Roman" w:eastAsia="楷体" w:hAnsi="Times New Roman" w:cs="Times New Roman" w:hint="eastAsia"/>
          <w:color w:val="000000" w:themeColor="text1"/>
        </w:rPr>
        <w:t>9.6%</w:t>
      </w:r>
      <w:r w:rsidRPr="00026688">
        <w:rPr>
          <w:rFonts w:ascii="Times New Roman" w:eastAsia="楷体" w:hAnsi="Times New Roman" w:cs="Times New Roman" w:hint="eastAsia"/>
          <w:color w:val="000000" w:themeColor="text1"/>
        </w:rPr>
        <w:t>），均高于市场预期。</w:t>
      </w:r>
    </w:p>
    <w:p w14:paraId="2DD35994" w14:textId="1BF66A11" w:rsidR="00490477" w:rsidRPr="008D1E5A" w:rsidRDefault="00026688" w:rsidP="00490477">
      <w:pPr>
        <w:ind w:firstLineChars="200" w:firstLine="480"/>
        <w:rPr>
          <w:rFonts w:ascii="Times New Roman" w:eastAsia="楷体" w:hAnsi="Times New Roman" w:cs="Times New Roman"/>
          <w:color w:val="000000" w:themeColor="text1"/>
        </w:rPr>
      </w:pPr>
      <w:r w:rsidRPr="00026688">
        <w:rPr>
          <w:rFonts w:ascii="Times New Roman" w:eastAsia="楷体" w:hAnsi="Times New Roman" w:cs="Times New Roman" w:hint="eastAsia"/>
          <w:color w:val="000000" w:themeColor="text1"/>
        </w:rPr>
        <w:t>2</w:t>
      </w:r>
      <w:r w:rsidRPr="00026688">
        <w:rPr>
          <w:rFonts w:ascii="Times New Roman" w:eastAsia="楷体" w:hAnsi="Times New Roman" w:cs="Times New Roman" w:hint="eastAsia"/>
          <w:color w:val="000000" w:themeColor="text1"/>
        </w:rPr>
        <w:t>月新增人民币贷款增长超出市场预期，主要是由于企业和居民中长</w:t>
      </w:r>
      <w:proofErr w:type="gramStart"/>
      <w:r w:rsidRPr="00026688">
        <w:rPr>
          <w:rFonts w:ascii="Times New Roman" w:eastAsia="楷体" w:hAnsi="Times New Roman" w:cs="Times New Roman" w:hint="eastAsia"/>
          <w:color w:val="000000" w:themeColor="text1"/>
        </w:rPr>
        <w:t>贷表现</w:t>
      </w:r>
      <w:proofErr w:type="gramEnd"/>
      <w:r w:rsidRPr="00026688">
        <w:rPr>
          <w:rFonts w:ascii="Times New Roman" w:eastAsia="楷体" w:hAnsi="Times New Roman" w:cs="Times New Roman" w:hint="eastAsia"/>
          <w:color w:val="000000" w:themeColor="text1"/>
        </w:rPr>
        <w:t>强势。具体来看，当月同比多增</w:t>
      </w:r>
      <w:r w:rsidRPr="00026688">
        <w:rPr>
          <w:rFonts w:ascii="Times New Roman" w:eastAsia="楷体" w:hAnsi="Times New Roman" w:cs="Times New Roman" w:hint="eastAsia"/>
          <w:color w:val="000000" w:themeColor="text1"/>
        </w:rPr>
        <w:t>0.45</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，创下同期历史新高，且信贷结构表现依然良好</w:t>
      </w:r>
      <w:r w:rsidR="00416F14">
        <w:rPr>
          <w:rFonts w:ascii="Times New Roman" w:eastAsia="楷体" w:hAnsi="Times New Roman" w:cs="Times New Roman" w:hint="eastAsia"/>
          <w:color w:val="000000" w:themeColor="text1"/>
        </w:rPr>
        <w:t>。</w:t>
      </w:r>
      <w:r w:rsidRPr="00026688">
        <w:rPr>
          <w:rFonts w:ascii="Times New Roman" w:eastAsia="楷体" w:hAnsi="Times New Roman" w:cs="Times New Roman" w:hint="eastAsia"/>
          <w:color w:val="000000" w:themeColor="text1"/>
        </w:rPr>
        <w:t>消费复苏叠加购房需求，居民贷款表现依然良好</w:t>
      </w:r>
      <w:r w:rsidR="00422C08">
        <w:rPr>
          <w:rFonts w:ascii="Times New Roman" w:eastAsia="楷体" w:hAnsi="Times New Roman" w:cs="Times New Roman" w:hint="eastAsia"/>
          <w:color w:val="000000" w:themeColor="text1"/>
        </w:rPr>
        <w:t>，</w:t>
      </w:r>
      <w:r w:rsidRPr="00026688">
        <w:rPr>
          <w:rFonts w:ascii="Times New Roman" w:eastAsia="楷体" w:hAnsi="Times New Roman" w:cs="Times New Roman" w:hint="eastAsia"/>
          <w:color w:val="000000" w:themeColor="text1"/>
        </w:rPr>
        <w:t>此外，还受到去年疫情冲击的低基数影响。</w:t>
      </w:r>
      <w:r w:rsidRPr="00026688">
        <w:rPr>
          <w:rFonts w:ascii="Times New Roman" w:eastAsia="楷体" w:hAnsi="Times New Roman" w:cs="Times New Roman" w:hint="eastAsia"/>
          <w:color w:val="000000" w:themeColor="text1"/>
        </w:rPr>
        <w:t>2</w:t>
      </w:r>
      <w:r w:rsidRPr="00026688">
        <w:rPr>
          <w:rFonts w:ascii="Times New Roman" w:eastAsia="楷体" w:hAnsi="Times New Roman" w:cs="Times New Roman" w:hint="eastAsia"/>
          <w:color w:val="000000" w:themeColor="text1"/>
        </w:rPr>
        <w:t>月居民贷款当月新增</w:t>
      </w:r>
      <w:r w:rsidRPr="00026688">
        <w:rPr>
          <w:rFonts w:ascii="Times New Roman" w:eastAsia="楷体" w:hAnsi="Times New Roman" w:cs="Times New Roman" w:hint="eastAsia"/>
          <w:color w:val="000000" w:themeColor="text1"/>
        </w:rPr>
        <w:t>0.14</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，同比增加</w:t>
      </w:r>
      <w:r w:rsidRPr="00026688">
        <w:rPr>
          <w:rFonts w:ascii="Times New Roman" w:eastAsia="楷体" w:hAnsi="Times New Roman" w:cs="Times New Roman" w:hint="eastAsia"/>
          <w:color w:val="000000" w:themeColor="text1"/>
        </w:rPr>
        <w:t>0.55</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。其中居民短贷当月减少</w:t>
      </w:r>
      <w:r w:rsidRPr="00026688">
        <w:rPr>
          <w:rFonts w:ascii="Times New Roman" w:eastAsia="楷体" w:hAnsi="Times New Roman" w:cs="Times New Roman" w:hint="eastAsia"/>
          <w:color w:val="000000" w:themeColor="text1"/>
        </w:rPr>
        <w:t>-0.27</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，同比少减</w:t>
      </w:r>
      <w:r w:rsidRPr="00026688">
        <w:rPr>
          <w:rFonts w:ascii="Times New Roman" w:eastAsia="楷体" w:hAnsi="Times New Roman" w:cs="Times New Roman" w:hint="eastAsia"/>
          <w:color w:val="000000" w:themeColor="text1"/>
        </w:rPr>
        <w:t>0.18</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，指向居民消费继续回暖。居民中长贷当月新增</w:t>
      </w:r>
      <w:r w:rsidRPr="00026688">
        <w:rPr>
          <w:rFonts w:ascii="Times New Roman" w:eastAsia="楷体" w:hAnsi="Times New Roman" w:cs="Times New Roman" w:hint="eastAsia"/>
          <w:color w:val="000000" w:themeColor="text1"/>
        </w:rPr>
        <w:t>0.41</w:t>
      </w:r>
      <w:proofErr w:type="gramStart"/>
      <w:r w:rsidRPr="00026688">
        <w:rPr>
          <w:rFonts w:ascii="Times New Roman" w:eastAsia="楷体" w:hAnsi="Times New Roman" w:cs="Times New Roman" w:hint="eastAsia"/>
          <w:color w:val="000000" w:themeColor="text1"/>
        </w:rPr>
        <w:t>万亿</w:t>
      </w:r>
      <w:proofErr w:type="gramEnd"/>
      <w:r w:rsidRPr="00026688">
        <w:rPr>
          <w:rFonts w:ascii="Times New Roman" w:eastAsia="楷体" w:hAnsi="Times New Roman" w:cs="Times New Roman" w:hint="eastAsia"/>
          <w:color w:val="000000" w:themeColor="text1"/>
        </w:rPr>
        <w:t>，同比增加</w:t>
      </w:r>
      <w:r w:rsidRPr="00026688">
        <w:rPr>
          <w:rFonts w:ascii="Times New Roman" w:eastAsia="楷体" w:hAnsi="Times New Roman" w:cs="Times New Roman" w:hint="eastAsia"/>
          <w:color w:val="000000" w:themeColor="text1"/>
        </w:rPr>
        <w:t>0.37</w:t>
      </w:r>
      <w:proofErr w:type="gramStart"/>
      <w:r w:rsidRPr="00026688">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44F85607"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487E29">
        <w:rPr>
          <w:rFonts w:ascii="Times New Roman" w:eastAsia="楷体" w:hAnsi="Times New Roman" w:cs="Times New Roman" w:hint="eastAsia"/>
          <w:color w:val="000000" w:themeColor="text1"/>
        </w:rPr>
        <w:t>道琼斯工业指数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4.0</w:t>
      </w:r>
      <w:r w:rsidRPr="00D127E3">
        <w:rPr>
          <w:rFonts w:ascii="Times New Roman" w:eastAsia="楷体" w:hAnsi="Times New Roman" w:cs="Times New Roman" w:hint="eastAsia"/>
          <w:color w:val="000000" w:themeColor="text1"/>
        </w:rPr>
        <w:t>7%</w:t>
      </w:r>
      <w:r w:rsidRPr="00D127E3">
        <w:rPr>
          <w:rFonts w:ascii="Times New Roman" w:eastAsia="楷体" w:hAnsi="Times New Roman" w:cs="Times New Roman" w:hint="eastAsia"/>
          <w:color w:val="000000" w:themeColor="text1"/>
        </w:rPr>
        <w:t>）领涨、</w:t>
      </w:r>
      <w:r w:rsidR="00487E29">
        <w:rPr>
          <w:rFonts w:ascii="Times New Roman" w:eastAsia="楷体" w:hAnsi="Times New Roman" w:cs="Times New Roman" w:hint="eastAsia"/>
          <w:color w:val="000000" w:themeColor="text1"/>
        </w:rPr>
        <w:t>纳斯达克</w:t>
      </w:r>
      <w:r w:rsidRPr="00D127E3">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3.09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日经</w:t>
      </w:r>
      <w:r w:rsidR="00487E29">
        <w:rPr>
          <w:rFonts w:ascii="Times New Roman" w:eastAsia="楷体" w:hAnsi="Times New Roman" w:cs="Times New Roman" w:hint="eastAsia"/>
          <w:color w:val="000000" w:themeColor="text1"/>
        </w:rPr>
        <w:t>225</w:t>
      </w:r>
      <w:r w:rsidR="00487E29">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+2.96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487E29">
        <w:rPr>
          <w:rFonts w:ascii="Times New Roman" w:eastAsia="楷体" w:hAnsi="Times New Roman" w:cs="Times New Roman" w:hint="eastAsia"/>
          <w:color w:val="000000" w:themeColor="text1"/>
        </w:rPr>
        <w:t>万得全</w:t>
      </w:r>
      <w:r w:rsidR="00487E29">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2.43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恒生指数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-1.</w:t>
      </w:r>
      <w:r w:rsidR="00487E29">
        <w:rPr>
          <w:rFonts w:ascii="Times New Roman" w:eastAsia="楷体" w:hAnsi="Times New Roman" w:cs="Times New Roman" w:hint="eastAsia"/>
          <w:color w:val="000000" w:themeColor="text1"/>
        </w:rPr>
        <w:t>2</w:t>
      </w:r>
      <w:r w:rsidRPr="00D127E3">
        <w:rPr>
          <w:rFonts w:ascii="Times New Roman" w:eastAsia="楷体" w:hAnsi="Times New Roman" w:cs="Times New Roman" w:hint="eastAsia"/>
          <w:color w:val="000000" w:themeColor="text1"/>
        </w:rPr>
        <w:t>3%</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NYMEX</w:t>
      </w:r>
      <w:r w:rsidR="00487E29">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0.80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）表现相对较弱；海外主要股票市场涨跌不一，其中欧洲市场：英国富时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1.9</w:t>
      </w:r>
      <w:r w:rsidR="00422C08">
        <w:rPr>
          <w:rFonts w:ascii="Times New Roman" w:eastAsia="楷体" w:hAnsi="Times New Roman" w:cs="Times New Roman" w:hint="eastAsia"/>
          <w:color w:val="000000" w:themeColor="text1"/>
        </w:rPr>
        <w:t>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4.18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4.56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表现较强</w:t>
      </w:r>
      <w:r w:rsidRPr="00D127E3">
        <w:rPr>
          <w:rFonts w:ascii="Times New Roman" w:eastAsia="楷体" w:hAnsi="Times New Roman" w:cs="Times New Roman" w:hint="eastAsia"/>
          <w:color w:val="000000" w:themeColor="text1"/>
        </w:rPr>
        <w:t>，纳斯达克指数周内涨幅</w:t>
      </w:r>
      <w:r w:rsidR="004C5C29">
        <w:rPr>
          <w:rFonts w:ascii="Times New Roman" w:eastAsia="楷体" w:hAnsi="Times New Roman" w:cs="Times New Roman" w:hint="eastAsia"/>
          <w:color w:val="000000" w:themeColor="text1"/>
        </w:rPr>
        <w:t>+3.09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Pr="00D127E3">
        <w:rPr>
          <w:rFonts w:ascii="Times New Roman" w:eastAsia="楷体" w:hAnsi="Times New Roman" w:cs="Times New Roman" w:hint="eastAsia"/>
          <w:color w:val="000000" w:themeColor="text1"/>
        </w:rPr>
        <w:t>+</w:t>
      </w:r>
      <w:r w:rsidR="004C5C29">
        <w:rPr>
          <w:rFonts w:ascii="Times New Roman" w:eastAsia="楷体" w:hAnsi="Times New Roman" w:cs="Times New Roman" w:hint="eastAsia"/>
          <w:color w:val="000000" w:themeColor="text1"/>
        </w:rPr>
        <w:t>2.64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4C5C29">
        <w:rPr>
          <w:rFonts w:ascii="Times New Roman" w:eastAsia="楷体" w:hAnsi="Times New Roman" w:cs="Times New Roman" w:hint="eastAsia"/>
          <w:color w:val="000000" w:themeColor="text1"/>
        </w:rPr>
        <w:t>+4.07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7156803C" w:rsidR="00D7571B" w:rsidRPr="00C2678E" w:rsidRDefault="00D127E3" w:rsidP="00356BF9">
      <w:pPr>
        <w:ind w:firstLineChars="200" w:firstLine="480"/>
        <w:rPr>
          <w:rFonts w:ascii="Times New Roman" w:eastAsia="楷体" w:hAnsi="Times New Roman" w:cs="Times New Roman"/>
        </w:rPr>
      </w:pPr>
      <w:bookmarkStart w:id="2"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股方面，市场行情表现</w:t>
      </w:r>
      <w:r w:rsidR="004C5C29">
        <w:rPr>
          <w:rFonts w:ascii="Times New Roman" w:eastAsia="楷体" w:hAnsi="Times New Roman" w:cs="Times New Roman" w:hint="eastAsia"/>
          <w:color w:val="000000" w:themeColor="text1"/>
        </w:rPr>
        <w:t>较弱</w:t>
      </w:r>
      <w:r w:rsidRPr="00D127E3">
        <w:rPr>
          <w:rFonts w:ascii="Times New Roman" w:eastAsia="楷体" w:hAnsi="Times New Roman" w:cs="Times New Roman" w:hint="eastAsia"/>
          <w:color w:val="000000" w:themeColor="text1"/>
        </w:rPr>
        <w:t>，</w:t>
      </w:r>
      <w:r w:rsidR="00422C08">
        <w:rPr>
          <w:rFonts w:ascii="Times New Roman" w:eastAsia="楷体" w:hAnsi="Times New Roman" w:cs="Times New Roman" w:hint="eastAsia"/>
          <w:color w:val="000000" w:themeColor="text1"/>
        </w:rPr>
        <w:t>上周各指数均有不同幅度下跌</w:t>
      </w:r>
      <w:r w:rsidRPr="00D127E3">
        <w:rPr>
          <w:rFonts w:ascii="Times New Roman" w:eastAsia="楷体" w:hAnsi="Times New Roman" w:cs="Times New Roman" w:hint="eastAsia"/>
          <w:color w:val="000000" w:themeColor="text1"/>
        </w:rPr>
        <w:t>。上证综指周内下跌</w:t>
      </w:r>
      <w:r w:rsidR="004C5C29">
        <w:rPr>
          <w:rFonts w:ascii="Times New Roman" w:eastAsia="楷体" w:hAnsi="Times New Roman" w:cs="Times New Roman" w:hint="eastAsia"/>
          <w:color w:val="000000" w:themeColor="text1"/>
        </w:rPr>
        <w:t>1.40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3453.08</w:t>
      </w:r>
      <w:r w:rsidRPr="00D127E3">
        <w:rPr>
          <w:rFonts w:ascii="Times New Roman" w:eastAsia="楷体" w:hAnsi="Times New Roman" w:cs="Times New Roman" w:hint="eastAsia"/>
          <w:color w:val="000000" w:themeColor="text1"/>
        </w:rPr>
        <w:t>点；深证成指周内下跌</w:t>
      </w:r>
      <w:r w:rsidR="004C5C29">
        <w:rPr>
          <w:rFonts w:ascii="Times New Roman" w:eastAsia="楷体" w:hAnsi="Times New Roman" w:cs="Times New Roman" w:hint="eastAsia"/>
          <w:color w:val="000000" w:themeColor="text1"/>
        </w:rPr>
        <w:t>3.58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13897.03</w:t>
      </w:r>
      <w:r w:rsidRPr="00D127E3">
        <w:rPr>
          <w:rFonts w:ascii="Times New Roman" w:eastAsia="楷体" w:hAnsi="Times New Roman" w:cs="Times New Roman" w:hint="eastAsia"/>
          <w:color w:val="000000" w:themeColor="text1"/>
        </w:rPr>
        <w:t>点；创业板指周内下跌</w:t>
      </w:r>
      <w:r w:rsidR="004C5C29">
        <w:rPr>
          <w:rFonts w:ascii="Times New Roman" w:eastAsia="楷体" w:hAnsi="Times New Roman" w:cs="Times New Roman" w:hint="eastAsia"/>
          <w:color w:val="000000" w:themeColor="text1"/>
        </w:rPr>
        <w:t>4.01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2756.81</w:t>
      </w:r>
      <w:r w:rsidRPr="00D127E3">
        <w:rPr>
          <w:rFonts w:ascii="Times New Roman" w:eastAsia="楷体" w:hAnsi="Times New Roman" w:cs="Times New Roman" w:hint="eastAsia"/>
          <w:color w:val="000000" w:themeColor="text1"/>
        </w:rPr>
        <w:t>点。两市周内日均成交</w:t>
      </w:r>
      <w:r w:rsidR="004C5C29">
        <w:rPr>
          <w:rFonts w:ascii="Times New Roman" w:eastAsia="楷体" w:hAnsi="Times New Roman" w:cs="Times New Roman" w:hint="eastAsia"/>
          <w:color w:val="000000" w:themeColor="text1"/>
        </w:rPr>
        <w:t>8763.36</w:t>
      </w:r>
      <w:r w:rsidRPr="00D127E3">
        <w:rPr>
          <w:rFonts w:ascii="Times New Roman" w:eastAsia="楷体" w:hAnsi="Times New Roman" w:cs="Times New Roman" w:hint="eastAsia"/>
          <w:color w:val="000000" w:themeColor="text1"/>
        </w:rPr>
        <w:t>亿元，较上</w:t>
      </w:r>
      <w:r w:rsidR="00422C08">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周减少</w:t>
      </w:r>
      <w:r w:rsidR="004C5C29">
        <w:rPr>
          <w:rFonts w:ascii="Times New Roman" w:eastAsia="楷体" w:hAnsi="Times New Roman" w:cs="Times New Roman" w:hint="eastAsia"/>
          <w:color w:val="000000" w:themeColor="text1"/>
        </w:rPr>
        <w:t>241.4</w:t>
      </w:r>
      <w:r w:rsidRPr="00D127E3">
        <w:rPr>
          <w:rFonts w:ascii="Times New Roman" w:eastAsia="楷体" w:hAnsi="Times New Roman" w:cs="Times New Roman" w:hint="eastAsia"/>
          <w:color w:val="000000" w:themeColor="text1"/>
        </w:rPr>
        <w:t>亿元。两市个股周内跌</w:t>
      </w:r>
      <w:r w:rsidR="004C5C29">
        <w:rPr>
          <w:rFonts w:ascii="Times New Roman" w:eastAsia="楷体" w:hAnsi="Times New Roman" w:cs="Times New Roman" w:hint="eastAsia"/>
          <w:color w:val="000000" w:themeColor="text1"/>
        </w:rPr>
        <w:t>多涨少</w:t>
      </w:r>
      <w:r w:rsidRPr="00D127E3">
        <w:rPr>
          <w:rFonts w:ascii="Times New Roman" w:eastAsia="楷体" w:hAnsi="Times New Roman" w:cs="Times New Roman" w:hint="eastAsia"/>
          <w:color w:val="000000" w:themeColor="text1"/>
        </w:rPr>
        <w:t>，</w:t>
      </w:r>
      <w:r w:rsidR="004C5C29">
        <w:rPr>
          <w:rFonts w:ascii="Times New Roman" w:eastAsia="楷体" w:hAnsi="Times New Roman" w:cs="Times New Roman" w:hint="eastAsia"/>
          <w:color w:val="000000" w:themeColor="text1"/>
        </w:rPr>
        <w:t>1011</w:t>
      </w:r>
      <w:r w:rsidRPr="00D127E3">
        <w:rPr>
          <w:rFonts w:ascii="Times New Roman" w:eastAsia="楷体" w:hAnsi="Times New Roman" w:cs="Times New Roman" w:hint="eastAsia"/>
          <w:color w:val="000000" w:themeColor="text1"/>
        </w:rPr>
        <w:t>家上涨，</w:t>
      </w:r>
      <w:r w:rsidRPr="00D127E3">
        <w:rPr>
          <w:rFonts w:ascii="Times New Roman" w:eastAsia="楷体" w:hAnsi="Times New Roman" w:cs="Times New Roman" w:hint="eastAsia"/>
          <w:color w:val="000000" w:themeColor="text1"/>
        </w:rPr>
        <w:t>4</w:t>
      </w:r>
      <w:r w:rsidR="004C5C29">
        <w:rPr>
          <w:rFonts w:ascii="Times New Roman" w:eastAsia="楷体" w:hAnsi="Times New Roman" w:cs="Times New Roman" w:hint="eastAsia"/>
          <w:color w:val="000000" w:themeColor="text1"/>
        </w:rPr>
        <w:t>4</w:t>
      </w:r>
      <w:r w:rsidRPr="00D127E3">
        <w:rPr>
          <w:rFonts w:ascii="Times New Roman" w:eastAsia="楷体" w:hAnsi="Times New Roman" w:cs="Times New Roman" w:hint="eastAsia"/>
          <w:color w:val="000000" w:themeColor="text1"/>
        </w:rPr>
        <w:t>家平盘，</w:t>
      </w:r>
      <w:r w:rsidR="004C5C29">
        <w:rPr>
          <w:rFonts w:ascii="Times New Roman" w:eastAsia="楷体" w:hAnsi="Times New Roman" w:cs="Times New Roman" w:hint="eastAsia"/>
          <w:color w:val="000000" w:themeColor="text1"/>
        </w:rPr>
        <w:t>3144</w:t>
      </w:r>
      <w:r w:rsidRPr="00D127E3">
        <w:rPr>
          <w:rFonts w:ascii="Times New Roman" w:eastAsia="楷体" w:hAnsi="Times New Roman" w:cs="Times New Roman" w:hint="eastAsia"/>
          <w:color w:val="000000" w:themeColor="text1"/>
        </w:rPr>
        <w:t>家下跌；全市场</w:t>
      </w:r>
      <w:r w:rsidR="00422C08">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累计涨停</w:t>
      </w:r>
      <w:r w:rsidR="004C5C29">
        <w:rPr>
          <w:rFonts w:ascii="Times New Roman" w:eastAsia="楷体" w:hAnsi="Times New Roman" w:cs="Times New Roman" w:hint="eastAsia"/>
          <w:color w:val="000000" w:themeColor="text1"/>
        </w:rPr>
        <w:t>319</w:t>
      </w:r>
      <w:r w:rsidRPr="00D127E3">
        <w:rPr>
          <w:rFonts w:ascii="Times New Roman" w:eastAsia="楷体" w:hAnsi="Times New Roman" w:cs="Times New Roman" w:hint="eastAsia"/>
          <w:color w:val="000000" w:themeColor="text1"/>
        </w:rPr>
        <w:t>家，</w:t>
      </w:r>
      <w:r w:rsidR="00422C08">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累计跌停</w:t>
      </w:r>
      <w:r w:rsidR="004C5C29">
        <w:rPr>
          <w:rFonts w:ascii="Times New Roman" w:eastAsia="楷体" w:hAnsi="Times New Roman" w:cs="Times New Roman" w:hint="eastAsia"/>
          <w:color w:val="000000" w:themeColor="text1"/>
        </w:rPr>
        <w:t>159</w:t>
      </w:r>
      <w:r w:rsidRPr="00D127E3">
        <w:rPr>
          <w:rFonts w:ascii="Times New Roman" w:eastAsia="楷体" w:hAnsi="Times New Roman" w:cs="Times New Roman" w:hint="eastAsia"/>
          <w:color w:val="000000" w:themeColor="text1"/>
        </w:rPr>
        <w:t>家。</w:t>
      </w:r>
    </w:p>
    <w:bookmarkEnd w:id="2"/>
    <w:p w14:paraId="001A09E6" w14:textId="1EA8A751"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4C5C29">
        <w:rPr>
          <w:rFonts w:ascii="Times New Roman" w:eastAsia="楷体" w:hAnsi="Times New Roman" w:cs="Times New Roman" w:hint="eastAsia"/>
          <w:b/>
        </w:rPr>
        <w:t>上证</w:t>
      </w:r>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3837A6FC" w:rsidR="007E1695" w:rsidRPr="00006470" w:rsidRDefault="004C5C29">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534AEF87" wp14:editId="5F2F64B7">
            <wp:extent cx="6066155" cy="28041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39749897"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4C5C29">
        <w:rPr>
          <w:rFonts w:ascii="Times New Roman" w:eastAsia="楷体" w:hAnsi="Times New Roman" w:cs="Times New Roman" w:hint="eastAsia"/>
          <w:color w:val="000000" w:themeColor="text1"/>
        </w:rPr>
        <w:t>公共事业</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4C5C29">
        <w:rPr>
          <w:rFonts w:ascii="Times New Roman" w:eastAsia="楷体" w:hAnsi="Times New Roman" w:cs="Times New Roman" w:hint="eastAsia"/>
          <w:color w:val="000000" w:themeColor="text1"/>
        </w:rPr>
        <w:t>4.69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4C5C29">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+4.</w:t>
      </w:r>
      <w:r w:rsidR="004C5C29">
        <w:rPr>
          <w:rFonts w:ascii="Times New Roman" w:eastAsia="楷体" w:hAnsi="Times New Roman" w:cs="Times New Roman" w:hint="eastAsia"/>
          <w:color w:val="000000" w:themeColor="text1"/>
        </w:rPr>
        <w:t>4</w:t>
      </w:r>
      <w:r w:rsidRPr="00B41C69">
        <w:rPr>
          <w:rFonts w:ascii="Times New Roman" w:eastAsia="楷体" w:hAnsi="Times New Roman" w:cs="Times New Roman" w:hint="eastAsia"/>
          <w:color w:val="000000" w:themeColor="text1"/>
        </w:rPr>
        <w:t>1%</w:t>
      </w:r>
      <w:r w:rsidRPr="00B41C69">
        <w:rPr>
          <w:rFonts w:ascii="Times New Roman" w:eastAsia="楷体" w:hAnsi="Times New Roman" w:cs="Times New Roman" w:hint="eastAsia"/>
          <w:color w:val="000000" w:themeColor="text1"/>
        </w:rPr>
        <w:t>）和</w:t>
      </w:r>
      <w:r w:rsidR="00C70619">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1.62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）。今年以来钢铁板块表现较好，钢铁（</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22.00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）、银行（</w:t>
      </w:r>
      <w:r w:rsidRPr="00B41C69">
        <w:rPr>
          <w:rFonts w:ascii="Times New Roman" w:eastAsia="楷体" w:hAnsi="Times New Roman" w:cs="Times New Roman" w:hint="eastAsia"/>
          <w:color w:val="000000" w:themeColor="text1"/>
        </w:rPr>
        <w:t>+11.</w:t>
      </w:r>
      <w:r w:rsidR="00C70619">
        <w:rPr>
          <w:rFonts w:ascii="Times New Roman" w:eastAsia="楷体" w:hAnsi="Times New Roman" w:cs="Times New Roman" w:hint="eastAsia"/>
          <w:color w:val="000000" w:themeColor="text1"/>
        </w:rPr>
        <w:t>56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休闲服务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9.19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C70619">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9.79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计算机</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-11.37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21.40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720035BD"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C70619">
        <w:rPr>
          <w:rFonts w:ascii="Times New Roman" w:eastAsia="楷体" w:hAnsi="Times New Roman" w:cs="Times New Roman" w:hint="eastAsia"/>
          <w:b/>
        </w:rPr>
        <w:t>公共事业</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0E44E00F" w:rsidR="00C13CA5" w:rsidRPr="00006470" w:rsidRDefault="004C5C29"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38C451CE" wp14:editId="5A84B6BA">
            <wp:extent cx="6562974" cy="160065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99673" cy="1609604"/>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2653EA8"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C70619">
        <w:rPr>
          <w:rFonts w:ascii="Times New Roman" w:eastAsia="楷体" w:hAnsi="Times New Roman" w:cs="Times New Roman" w:hint="eastAsia"/>
          <w:color w:val="000000" w:themeColor="text1"/>
        </w:rPr>
        <w:t>流入</w:t>
      </w:r>
      <w:r w:rsidR="00C70619">
        <w:rPr>
          <w:rFonts w:ascii="Times New Roman" w:eastAsia="楷体" w:hAnsi="Times New Roman" w:cs="Times New Roman" w:hint="eastAsia"/>
          <w:color w:val="000000" w:themeColor="text1"/>
        </w:rPr>
        <w:t>66.14</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C70619">
        <w:rPr>
          <w:rFonts w:ascii="Times New Roman" w:eastAsia="楷体" w:hAnsi="Times New Roman" w:cs="Times New Roman" w:hint="eastAsia"/>
          <w:color w:val="000000" w:themeColor="text1"/>
        </w:rPr>
        <w:t>513.37</w:t>
      </w:r>
      <w:r w:rsidRPr="00B41C69">
        <w:rPr>
          <w:rFonts w:ascii="Times New Roman" w:eastAsia="楷体" w:hAnsi="Times New Roman" w:cs="Times New Roman" w:hint="eastAsia"/>
          <w:color w:val="000000" w:themeColor="text1"/>
        </w:rPr>
        <w:t>亿份较前一周</w:t>
      </w:r>
      <w:r w:rsidR="00026688">
        <w:rPr>
          <w:rFonts w:ascii="Times New Roman" w:eastAsia="楷体" w:hAnsi="Times New Roman" w:cs="Times New Roman" w:hint="eastAsia"/>
          <w:color w:val="000000" w:themeColor="text1"/>
        </w:rPr>
        <w:t>小幅减少</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3</w:t>
      </w:r>
      <w:r w:rsidRPr="00B41C69">
        <w:rPr>
          <w:rFonts w:ascii="Times New Roman" w:eastAsia="楷体" w:hAnsi="Times New Roman" w:cs="Times New Roman" w:hint="eastAsia"/>
          <w:color w:val="000000" w:themeColor="text1"/>
        </w:rPr>
        <w:t>月最新募资合计</w:t>
      </w:r>
      <w:r w:rsidR="00C70619">
        <w:rPr>
          <w:rFonts w:ascii="Times New Roman" w:eastAsia="楷体" w:hAnsi="Times New Roman" w:cs="Times New Roman" w:hint="eastAsia"/>
          <w:color w:val="000000" w:themeColor="text1"/>
        </w:rPr>
        <w:t>341.01</w:t>
      </w:r>
      <w:r w:rsidRPr="00B41C69">
        <w:rPr>
          <w:rFonts w:ascii="Times New Roman" w:eastAsia="楷体" w:hAnsi="Times New Roman" w:cs="Times New Roman" w:hint="eastAsia"/>
          <w:color w:val="000000" w:themeColor="text1"/>
        </w:rPr>
        <w:t>亿元；本周限售解禁市值约</w:t>
      </w:r>
      <w:r w:rsidR="00C70619">
        <w:rPr>
          <w:rFonts w:ascii="Times New Roman" w:eastAsia="楷体" w:hAnsi="Times New Roman" w:cs="Times New Roman" w:hint="eastAsia"/>
          <w:color w:val="000000" w:themeColor="text1"/>
        </w:rPr>
        <w:t>103.38</w:t>
      </w:r>
      <w:r w:rsidRPr="00B41C69">
        <w:rPr>
          <w:rFonts w:ascii="Times New Roman" w:eastAsia="楷体" w:hAnsi="Times New Roman" w:cs="Times New Roman" w:hint="eastAsia"/>
          <w:color w:val="000000" w:themeColor="text1"/>
        </w:rPr>
        <w:t>亿元，与上周相比大幅减少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49D7A462" w:rsidR="0052683C" w:rsidRPr="00006470" w:rsidRDefault="00422C08"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上周</w:t>
      </w:r>
      <w:r w:rsidR="00102B2C" w:rsidRPr="00102B2C">
        <w:rPr>
          <w:rFonts w:ascii="Times New Roman" w:eastAsia="楷体" w:hAnsi="Times New Roman" w:cs="Times New Roman" w:hint="eastAsia"/>
          <w:color w:val="000000"/>
          <w:shd w:val="clear" w:color="auto" w:fill="FFFFFF"/>
        </w:rPr>
        <w:t>市场整体仍</w:t>
      </w:r>
      <w:proofErr w:type="gramStart"/>
      <w:r w:rsidR="00102B2C" w:rsidRPr="00102B2C">
        <w:rPr>
          <w:rFonts w:ascii="Times New Roman" w:eastAsia="楷体" w:hAnsi="Times New Roman" w:cs="Times New Roman" w:hint="eastAsia"/>
          <w:color w:val="000000"/>
          <w:shd w:val="clear" w:color="auto" w:fill="FFFFFF"/>
        </w:rPr>
        <w:t>处下跌</w:t>
      </w:r>
      <w:proofErr w:type="gramEnd"/>
      <w:r w:rsidR="00102B2C" w:rsidRPr="00102B2C">
        <w:rPr>
          <w:rFonts w:ascii="Times New Roman" w:eastAsia="楷体" w:hAnsi="Times New Roman" w:cs="Times New Roman" w:hint="eastAsia"/>
          <w:color w:val="000000"/>
          <w:shd w:val="clear" w:color="auto" w:fill="FFFFFF"/>
        </w:rPr>
        <w:t>态势，但下跌斜率继续减缓，前期跌幅较大的白酒、新能源等龙头公司</w:t>
      </w:r>
      <w:r w:rsidR="00102B2C" w:rsidRPr="00102B2C">
        <w:rPr>
          <w:rFonts w:ascii="Times New Roman" w:eastAsia="楷体" w:hAnsi="Times New Roman" w:cs="Times New Roman" w:hint="eastAsia"/>
          <w:color w:val="000000"/>
          <w:shd w:val="clear" w:color="auto" w:fill="FFFFFF"/>
        </w:rPr>
        <w:lastRenderedPageBreak/>
        <w:t>开始企稳，“碳中和”受益的钢铁、煤炭、环保等板块则表现较为强势。周五美十年期国债大涨继续创出新高</w:t>
      </w:r>
      <w:proofErr w:type="gramStart"/>
      <w:r w:rsidR="00102B2C" w:rsidRPr="00102B2C">
        <w:rPr>
          <w:rFonts w:ascii="Times New Roman" w:eastAsia="楷体" w:hAnsi="Times New Roman" w:cs="Times New Roman" w:hint="eastAsia"/>
          <w:color w:val="000000"/>
          <w:shd w:val="clear" w:color="auto" w:fill="FFFFFF"/>
        </w:rPr>
        <w:t>但纳指仅</w:t>
      </w:r>
      <w:proofErr w:type="gramEnd"/>
      <w:r w:rsidR="00102B2C" w:rsidRPr="00102B2C">
        <w:rPr>
          <w:rFonts w:ascii="Times New Roman" w:eastAsia="楷体" w:hAnsi="Times New Roman" w:cs="Times New Roman" w:hint="eastAsia"/>
          <w:color w:val="000000"/>
          <w:shd w:val="clear" w:color="auto" w:fill="FFFFFF"/>
        </w:rPr>
        <w:t>微跌</w:t>
      </w:r>
      <w:r w:rsidR="00102B2C" w:rsidRPr="00102B2C">
        <w:rPr>
          <w:rFonts w:ascii="Times New Roman" w:eastAsia="楷体" w:hAnsi="Times New Roman" w:cs="Times New Roman" w:hint="eastAsia"/>
          <w:color w:val="000000"/>
          <w:shd w:val="clear" w:color="auto" w:fill="FFFFFF"/>
        </w:rPr>
        <w:t>0.59%</w:t>
      </w:r>
      <w:r w:rsidR="00102B2C" w:rsidRPr="00102B2C">
        <w:rPr>
          <w:rFonts w:ascii="Times New Roman" w:eastAsia="楷体" w:hAnsi="Times New Roman" w:cs="Times New Roman" w:hint="eastAsia"/>
          <w:color w:val="000000"/>
          <w:shd w:val="clear" w:color="auto" w:fill="FFFFFF"/>
        </w:rPr>
        <w:t>，显示出市场对美债收益率的敏感度在逐步下降。整体而言我们认为市场中期进入震荡区间，短期不宜过分悲观但对反弹应降低预期。短期</w:t>
      </w:r>
      <w:r>
        <w:rPr>
          <w:rFonts w:ascii="Times New Roman" w:eastAsia="楷体" w:hAnsi="Times New Roman" w:cs="Times New Roman" w:hint="eastAsia"/>
          <w:color w:val="000000"/>
          <w:shd w:val="clear" w:color="auto" w:fill="FFFFFF"/>
        </w:rPr>
        <w:t>上周</w:t>
      </w:r>
      <w:r w:rsidR="00102B2C" w:rsidRPr="00102B2C">
        <w:rPr>
          <w:rFonts w:ascii="Times New Roman" w:eastAsia="楷体" w:hAnsi="Times New Roman" w:cs="Times New Roman" w:hint="eastAsia"/>
          <w:color w:val="000000"/>
          <w:shd w:val="clear" w:color="auto" w:fill="FFFFFF"/>
        </w:rPr>
        <w:t>发布的</w:t>
      </w:r>
      <w:r w:rsidR="00102B2C" w:rsidRPr="00102B2C">
        <w:rPr>
          <w:rFonts w:ascii="Times New Roman" w:eastAsia="楷体" w:hAnsi="Times New Roman" w:cs="Times New Roman" w:hint="eastAsia"/>
          <w:color w:val="000000"/>
          <w:shd w:val="clear" w:color="auto" w:fill="FFFFFF"/>
        </w:rPr>
        <w:t>2</w:t>
      </w:r>
      <w:r w:rsidR="00102B2C" w:rsidRPr="00102B2C">
        <w:rPr>
          <w:rFonts w:ascii="Times New Roman" w:eastAsia="楷体" w:hAnsi="Times New Roman" w:cs="Times New Roman" w:hint="eastAsia"/>
          <w:color w:val="000000"/>
          <w:shd w:val="clear" w:color="auto" w:fill="FFFFFF"/>
        </w:rPr>
        <w:t>月</w:t>
      </w:r>
      <w:proofErr w:type="gramStart"/>
      <w:r w:rsidR="00102B2C" w:rsidRPr="00102B2C">
        <w:rPr>
          <w:rFonts w:ascii="Times New Roman" w:eastAsia="楷体" w:hAnsi="Times New Roman" w:cs="Times New Roman" w:hint="eastAsia"/>
          <w:color w:val="000000"/>
          <w:shd w:val="clear" w:color="auto" w:fill="FFFFFF"/>
        </w:rPr>
        <w:t>社融数据</w:t>
      </w:r>
      <w:proofErr w:type="gramEnd"/>
      <w:r w:rsidR="00102B2C" w:rsidRPr="00102B2C">
        <w:rPr>
          <w:rFonts w:ascii="Times New Roman" w:eastAsia="楷体" w:hAnsi="Times New Roman" w:cs="Times New Roman" w:hint="eastAsia"/>
          <w:color w:val="000000"/>
          <w:shd w:val="clear" w:color="auto" w:fill="FFFFFF"/>
        </w:rPr>
        <w:t>以及即将公布的上市公司</w:t>
      </w:r>
      <w:proofErr w:type="gramStart"/>
      <w:r w:rsidR="00102B2C" w:rsidRPr="00102B2C">
        <w:rPr>
          <w:rFonts w:ascii="Times New Roman" w:eastAsia="楷体" w:hAnsi="Times New Roman" w:cs="Times New Roman" w:hint="eastAsia"/>
          <w:color w:val="000000"/>
          <w:shd w:val="clear" w:color="auto" w:fill="FFFFFF"/>
        </w:rPr>
        <w:t>一</w:t>
      </w:r>
      <w:proofErr w:type="gramEnd"/>
      <w:r w:rsidR="00102B2C" w:rsidRPr="00102B2C">
        <w:rPr>
          <w:rFonts w:ascii="Times New Roman" w:eastAsia="楷体" w:hAnsi="Times New Roman" w:cs="Times New Roman" w:hint="eastAsia"/>
          <w:color w:val="000000"/>
          <w:shd w:val="clear" w:color="auto" w:fill="FFFFFF"/>
        </w:rPr>
        <w:t>季报将对市场有一定支撑，流动性方面</w:t>
      </w:r>
      <w:proofErr w:type="gramStart"/>
      <w:r w:rsidR="00102B2C" w:rsidRPr="00102B2C">
        <w:rPr>
          <w:rFonts w:ascii="Times New Roman" w:eastAsia="楷体" w:hAnsi="Times New Roman" w:cs="Times New Roman" w:hint="eastAsia"/>
          <w:color w:val="000000"/>
          <w:shd w:val="clear" w:color="auto" w:fill="FFFFFF"/>
        </w:rPr>
        <w:t>2</w:t>
      </w:r>
      <w:r w:rsidR="00102B2C" w:rsidRPr="00102B2C">
        <w:rPr>
          <w:rFonts w:ascii="Times New Roman" w:eastAsia="楷体" w:hAnsi="Times New Roman" w:cs="Times New Roman" w:hint="eastAsia"/>
          <w:color w:val="000000"/>
          <w:shd w:val="clear" w:color="auto" w:fill="FFFFFF"/>
        </w:rPr>
        <w:t>月社融同比</w:t>
      </w:r>
      <w:proofErr w:type="gramEnd"/>
      <w:r w:rsidR="00102B2C" w:rsidRPr="00102B2C">
        <w:rPr>
          <w:rFonts w:ascii="Times New Roman" w:eastAsia="楷体" w:hAnsi="Times New Roman" w:cs="Times New Roman" w:hint="eastAsia"/>
          <w:color w:val="000000"/>
          <w:shd w:val="clear" w:color="auto" w:fill="FFFFFF"/>
        </w:rPr>
        <w:t>增长</w:t>
      </w:r>
      <w:r w:rsidR="00102B2C" w:rsidRPr="00102B2C">
        <w:rPr>
          <w:rFonts w:ascii="Times New Roman" w:eastAsia="楷体" w:hAnsi="Times New Roman" w:cs="Times New Roman" w:hint="eastAsia"/>
          <w:color w:val="000000"/>
          <w:shd w:val="clear" w:color="auto" w:fill="FFFFFF"/>
        </w:rPr>
        <w:t>13.30%</w:t>
      </w:r>
      <w:r w:rsidR="00102B2C" w:rsidRPr="00102B2C">
        <w:rPr>
          <w:rFonts w:ascii="Times New Roman" w:eastAsia="楷体" w:hAnsi="Times New Roman" w:cs="Times New Roman" w:hint="eastAsia"/>
          <w:color w:val="000000"/>
          <w:shd w:val="clear" w:color="auto" w:fill="FFFFFF"/>
        </w:rPr>
        <w:t>较</w:t>
      </w:r>
      <w:r w:rsidR="00102B2C" w:rsidRPr="00102B2C">
        <w:rPr>
          <w:rFonts w:ascii="Times New Roman" w:eastAsia="楷体" w:hAnsi="Times New Roman" w:cs="Times New Roman" w:hint="eastAsia"/>
          <w:color w:val="000000"/>
          <w:shd w:val="clear" w:color="auto" w:fill="FFFFFF"/>
        </w:rPr>
        <w:t>1</w:t>
      </w:r>
      <w:r w:rsidR="00102B2C" w:rsidRPr="00102B2C">
        <w:rPr>
          <w:rFonts w:ascii="Times New Roman" w:eastAsia="楷体" w:hAnsi="Times New Roman" w:cs="Times New Roman" w:hint="eastAsia"/>
          <w:color w:val="000000"/>
          <w:shd w:val="clear" w:color="auto" w:fill="FFFFFF"/>
        </w:rPr>
        <w:t>月</w:t>
      </w:r>
      <w:r w:rsidR="00102B2C" w:rsidRPr="00102B2C">
        <w:rPr>
          <w:rFonts w:ascii="Times New Roman" w:eastAsia="楷体" w:hAnsi="Times New Roman" w:cs="Times New Roman" w:hint="eastAsia"/>
          <w:color w:val="000000"/>
          <w:shd w:val="clear" w:color="auto" w:fill="FFFFFF"/>
        </w:rPr>
        <w:t>13.00%</w:t>
      </w:r>
      <w:r w:rsidR="00102B2C" w:rsidRPr="00102B2C">
        <w:rPr>
          <w:rFonts w:ascii="Times New Roman" w:eastAsia="楷体" w:hAnsi="Times New Roman" w:cs="Times New Roman" w:hint="eastAsia"/>
          <w:color w:val="000000"/>
          <w:shd w:val="clear" w:color="auto" w:fill="FFFFFF"/>
        </w:rPr>
        <w:t>边际加速，其中企业中长期贷款表现亮眼反应了经济复苏的态势。但趋势来看今年是盈利增长和流动性收紧在赛跑，流动性逐步收紧带来估值中枢下移是大概率事件。基本面方面</w:t>
      </w:r>
      <w:r w:rsidR="00102B2C" w:rsidRPr="00102B2C">
        <w:rPr>
          <w:rFonts w:ascii="Times New Roman" w:eastAsia="楷体" w:hAnsi="Times New Roman" w:cs="Times New Roman" w:hint="eastAsia"/>
          <w:color w:val="000000"/>
          <w:shd w:val="clear" w:color="auto" w:fill="FFFFFF"/>
        </w:rPr>
        <w:t>PMI</w:t>
      </w:r>
      <w:r w:rsidR="00102B2C" w:rsidRPr="00102B2C">
        <w:rPr>
          <w:rFonts w:ascii="Times New Roman" w:eastAsia="楷体" w:hAnsi="Times New Roman" w:cs="Times New Roman" w:hint="eastAsia"/>
          <w:color w:val="000000"/>
          <w:shd w:val="clear" w:color="auto" w:fill="FFFFFF"/>
        </w:rPr>
        <w:t>月度数据</w:t>
      </w:r>
      <w:r w:rsidR="00102B2C" w:rsidRPr="00102B2C">
        <w:rPr>
          <w:rFonts w:ascii="Times New Roman" w:eastAsia="楷体" w:hAnsi="Times New Roman" w:cs="Times New Roman" w:hint="eastAsia"/>
          <w:color w:val="000000"/>
          <w:shd w:val="clear" w:color="auto" w:fill="FFFFFF"/>
        </w:rPr>
        <w:t>11</w:t>
      </w:r>
      <w:r w:rsidR="00102B2C" w:rsidRPr="00102B2C">
        <w:rPr>
          <w:rFonts w:ascii="Times New Roman" w:eastAsia="楷体" w:hAnsi="Times New Roman" w:cs="Times New Roman" w:hint="eastAsia"/>
          <w:color w:val="000000"/>
          <w:shd w:val="clear" w:color="auto" w:fill="FFFFFF"/>
        </w:rPr>
        <w:t>月以来已出现连续</w:t>
      </w:r>
      <w:r w:rsidR="00102B2C" w:rsidRPr="00102B2C">
        <w:rPr>
          <w:rFonts w:ascii="Times New Roman" w:eastAsia="楷体" w:hAnsi="Times New Roman" w:cs="Times New Roman" w:hint="eastAsia"/>
          <w:color w:val="000000"/>
          <w:shd w:val="clear" w:color="auto" w:fill="FFFFFF"/>
        </w:rPr>
        <w:t>3</w:t>
      </w:r>
      <w:r w:rsidR="00102B2C" w:rsidRPr="00102B2C">
        <w:rPr>
          <w:rFonts w:ascii="Times New Roman" w:eastAsia="楷体" w:hAnsi="Times New Roman" w:cs="Times New Roman" w:hint="eastAsia"/>
          <w:color w:val="000000"/>
          <w:shd w:val="clear" w:color="auto" w:fill="FFFFFF"/>
        </w:rPr>
        <w:t>个月的边际回落，从上市公司业绩同比增速来看预计高点将在一二季度显现，经济“填坑”后上市公司业绩增速将有回落压力。中期建议偏防守为主</w:t>
      </w:r>
      <w:r w:rsidR="00D70AF1">
        <w:rPr>
          <w:rFonts w:ascii="Times New Roman" w:eastAsia="楷体" w:hAnsi="Times New Roman" w:cs="Times New Roman" w:hint="eastAsia"/>
          <w:color w:val="000000"/>
          <w:shd w:val="clear" w:color="auto" w:fill="FFFFFF"/>
        </w:rPr>
        <w:t>，</w:t>
      </w:r>
      <w:r w:rsidR="00102B2C" w:rsidRPr="00102B2C">
        <w:rPr>
          <w:rFonts w:ascii="Times New Roman" w:eastAsia="楷体" w:hAnsi="Times New Roman" w:cs="Times New Roman" w:hint="eastAsia"/>
          <w:color w:val="000000"/>
          <w:shd w:val="clear" w:color="auto" w:fill="FFFFFF"/>
        </w:rPr>
        <w:t>关注银行以及周</w:t>
      </w:r>
      <w:r w:rsidR="00102B2C">
        <w:rPr>
          <w:rFonts w:ascii="Times New Roman" w:eastAsia="楷体" w:hAnsi="Times New Roman" w:cs="Times New Roman" w:hint="eastAsia"/>
          <w:color w:val="000000"/>
          <w:shd w:val="clear" w:color="auto" w:fill="FFFFFF"/>
        </w:rPr>
        <w:t>期板块，优化结构为重点</w:t>
      </w:r>
      <w:r w:rsidR="00D70AF1">
        <w:rPr>
          <w:rFonts w:ascii="Times New Roman" w:eastAsia="楷体" w:hAnsi="Times New Roman" w:cs="Times New Roman" w:hint="eastAsia"/>
          <w:color w:val="000000"/>
          <w:shd w:val="clear" w:color="auto" w:fill="FFFFFF"/>
        </w:rPr>
        <w:t>，</w:t>
      </w:r>
      <w:r w:rsidR="00102B2C">
        <w:rPr>
          <w:rFonts w:ascii="Times New Roman" w:eastAsia="楷体" w:hAnsi="Times New Roman" w:cs="Times New Roman" w:hint="eastAsia"/>
          <w:color w:val="000000"/>
          <w:shd w:val="clear" w:color="auto" w:fill="FFFFFF"/>
        </w:rPr>
        <w:t>对于估值与业绩相匹配的龙头仍将是关注重点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321D7FBC"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102B2C">
        <w:rPr>
          <w:rFonts w:ascii="Times New Roman" w:eastAsia="楷体" w:hAnsi="Times New Roman" w:cs="Times New Roman" w:hint="eastAsia"/>
          <w:color w:val="000000" w:themeColor="text1"/>
        </w:rPr>
        <w:t>银行、</w:t>
      </w:r>
      <w:r w:rsidR="00102B2C">
        <w:rPr>
          <w:rFonts w:ascii="Times New Roman" w:eastAsia="楷体" w:hAnsi="Times New Roman" w:cs="Times New Roman"/>
          <w:color w:val="000000" w:themeColor="text1"/>
        </w:rPr>
        <w:t>周期</w:t>
      </w:r>
      <w:r w:rsidRPr="00006470">
        <w:rPr>
          <w:rFonts w:ascii="Times New Roman" w:eastAsia="楷体" w:hAnsi="Times New Roman" w:cs="Times New Roman"/>
          <w:color w:val="000000" w:themeColor="text1"/>
        </w:rPr>
        <w:t>；</w:t>
      </w:r>
    </w:p>
    <w:p w14:paraId="1F660E1A" w14:textId="67475DFD"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102B2C">
        <w:rPr>
          <w:rFonts w:ascii="Times New Roman" w:eastAsia="楷体" w:hAnsi="Times New Roman" w:cs="Times New Roman"/>
          <w:color w:val="000000" w:themeColor="text1"/>
        </w:rPr>
        <w:t>、科技</w:t>
      </w:r>
      <w:r w:rsidR="00102B2C">
        <w:rPr>
          <w:rFonts w:ascii="Times New Roman" w:eastAsia="楷体" w:hAnsi="Times New Roman" w:cs="Times New Roman" w:hint="eastAsia"/>
          <w:color w:val="000000" w:themeColor="text1"/>
        </w:rPr>
        <w:t>、</w:t>
      </w:r>
      <w:r w:rsidR="00102B2C">
        <w:rPr>
          <w:rFonts w:ascii="Times New Roman" w:eastAsia="楷体" w:hAnsi="Times New Roman" w:cs="Times New Roman"/>
          <w:color w:val="000000" w:themeColor="text1"/>
        </w:rPr>
        <w:t>消费龙头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025657E6"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5265DF">
        <w:rPr>
          <w:rFonts w:ascii="Times New Roman" w:eastAsia="楷体" w:hAnsi="Times New Roman" w:cs="Times New Roman" w:hint="eastAsia"/>
          <w:b/>
        </w:rPr>
        <w:t>道琼斯工业指数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5265DF">
        <w:rPr>
          <w:rFonts w:ascii="Times New Roman" w:eastAsia="楷体" w:hAnsi="Times New Roman" w:cs="Times New Roman" w:hint="eastAsia"/>
          <w:b/>
        </w:rPr>
        <w:t>万得全</w:t>
      </w:r>
      <w:r w:rsidR="005265DF">
        <w:rPr>
          <w:rFonts w:ascii="Times New Roman" w:eastAsia="楷体" w:hAnsi="Times New Roman" w:cs="Times New Roman" w:hint="eastAsia"/>
          <w:b/>
        </w:rPr>
        <w:t>A</w:t>
      </w:r>
      <w:r w:rsidR="00ED0B50">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C70619"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D5FCB07"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26436517" w14:textId="3967E00E"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4.07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66CE9946" w:rsidR="00C70619" w:rsidRPr="00075E3A"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7.10</w:t>
            </w:r>
          </w:p>
        </w:tc>
      </w:tr>
      <w:tr w:rsidR="00C70619"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0A901EBD"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纳斯达克指数</w:t>
            </w:r>
          </w:p>
        </w:tc>
        <w:tc>
          <w:tcPr>
            <w:tcW w:w="1875" w:type="dxa"/>
            <w:noWrap/>
          </w:tcPr>
          <w:p w14:paraId="6CBF5955" w14:textId="23E883DA"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3.09</w:t>
            </w:r>
          </w:p>
        </w:tc>
        <w:tc>
          <w:tcPr>
            <w:tcW w:w="2293" w:type="dxa"/>
            <w:noWrap/>
          </w:tcPr>
          <w:p w14:paraId="03D306C5" w14:textId="180E4700"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3.35</w:t>
            </w:r>
          </w:p>
        </w:tc>
      </w:tr>
      <w:tr w:rsidR="00C70619"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5305DDAA"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0B8AF65" w14:textId="1272853C"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2.96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6F7A7FAB"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8.28</w:t>
            </w:r>
          </w:p>
        </w:tc>
      </w:tr>
      <w:tr w:rsidR="00C70619"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6FAFEE33"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LME铜</w:t>
            </w:r>
          </w:p>
        </w:tc>
        <w:tc>
          <w:tcPr>
            <w:tcW w:w="1875" w:type="dxa"/>
            <w:noWrap/>
          </w:tcPr>
          <w:p w14:paraId="6E1624BD" w14:textId="25CD2138"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2.66</w:t>
            </w:r>
          </w:p>
        </w:tc>
        <w:tc>
          <w:tcPr>
            <w:tcW w:w="2293" w:type="dxa"/>
            <w:noWrap/>
          </w:tcPr>
          <w:p w14:paraId="628C5028" w14:textId="6C351BB4"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17.60</w:t>
            </w:r>
          </w:p>
        </w:tc>
      </w:tr>
      <w:tr w:rsidR="00C70619"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55D03E3D"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301BF87B" w14:textId="18074E86"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1.97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2065D3AB"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4.66</w:t>
            </w:r>
          </w:p>
        </w:tc>
      </w:tr>
      <w:tr w:rsidR="00C70619"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4C5BE3E5"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COMEX黄金</w:t>
            </w:r>
          </w:p>
        </w:tc>
        <w:tc>
          <w:tcPr>
            <w:tcW w:w="1875" w:type="dxa"/>
            <w:noWrap/>
          </w:tcPr>
          <w:p w14:paraId="3F2524D6" w14:textId="2479D121"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1.44</w:t>
            </w:r>
          </w:p>
        </w:tc>
        <w:tc>
          <w:tcPr>
            <w:tcW w:w="2293" w:type="dxa"/>
            <w:noWrap/>
          </w:tcPr>
          <w:p w14:paraId="0F02F0AC" w14:textId="6763CB8A"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-9.01</w:t>
            </w:r>
          </w:p>
        </w:tc>
      </w:tr>
      <w:tr w:rsidR="00C70619"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5AEFA97"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0C654950" w14:textId="6FA364D3"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0.50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07E29286"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7.59</w:t>
            </w:r>
          </w:p>
        </w:tc>
      </w:tr>
      <w:tr w:rsidR="00C70619"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7D311619" w:rsidR="00C70619" w:rsidRPr="00D60997" w:rsidRDefault="00C70619" w:rsidP="00C70619">
            <w:pPr>
              <w:jc w:val="center"/>
              <w:rPr>
                <w:rFonts w:ascii="楷体" w:eastAsia="楷体" w:hAnsi="楷体" w:cs="Times New Roman"/>
                <w:color w:val="000000"/>
              </w:rPr>
            </w:pPr>
            <w:proofErr w:type="gramStart"/>
            <w:r w:rsidRPr="00C70619">
              <w:rPr>
                <w:rFonts w:ascii="楷体" w:eastAsia="楷体" w:hAnsi="楷体" w:cs="Times New Roman" w:hint="eastAsia"/>
                <w:color w:val="000000"/>
              </w:rPr>
              <w:t>中债总指数</w:t>
            </w:r>
            <w:proofErr w:type="gramEnd"/>
          </w:p>
        </w:tc>
        <w:tc>
          <w:tcPr>
            <w:tcW w:w="1875" w:type="dxa"/>
            <w:noWrap/>
          </w:tcPr>
          <w:p w14:paraId="5DA062AB" w14:textId="5C4A2E21"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0.08</w:t>
            </w:r>
          </w:p>
        </w:tc>
        <w:tc>
          <w:tcPr>
            <w:tcW w:w="2293" w:type="dxa"/>
            <w:noWrap/>
          </w:tcPr>
          <w:p w14:paraId="6CF61D40" w14:textId="2019FE0D"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0.23</w:t>
            </w:r>
          </w:p>
        </w:tc>
      </w:tr>
      <w:tr w:rsidR="00C70619"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22668344"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B52684A" w14:textId="486D2E7E"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-0.21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60B9B3EA"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9.70</w:t>
            </w:r>
          </w:p>
        </w:tc>
      </w:tr>
      <w:tr w:rsidR="00C70619"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75F70763"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美元指数</w:t>
            </w:r>
          </w:p>
        </w:tc>
        <w:tc>
          <w:tcPr>
            <w:tcW w:w="1875" w:type="dxa"/>
            <w:noWrap/>
          </w:tcPr>
          <w:p w14:paraId="07AD02DE" w14:textId="4A8A0908"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-0.36</w:t>
            </w:r>
          </w:p>
        </w:tc>
        <w:tc>
          <w:tcPr>
            <w:tcW w:w="2293" w:type="dxa"/>
            <w:noWrap/>
          </w:tcPr>
          <w:p w14:paraId="1353B161" w14:textId="20EA8D10"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1.90</w:t>
            </w:r>
          </w:p>
        </w:tc>
      </w:tr>
      <w:tr w:rsidR="00C70619"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A120992"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495D9432" w14:textId="2B9E2A49"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-0.80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6CC1C5B9"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35.12</w:t>
            </w:r>
          </w:p>
        </w:tc>
      </w:tr>
      <w:tr w:rsidR="00C70619"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3C9A428"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恒生指数</w:t>
            </w:r>
          </w:p>
        </w:tc>
        <w:tc>
          <w:tcPr>
            <w:tcW w:w="1875" w:type="dxa"/>
            <w:noWrap/>
          </w:tcPr>
          <w:p w14:paraId="0528E8CE" w14:textId="3F7D94CA"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-1.23</w:t>
            </w:r>
          </w:p>
        </w:tc>
        <w:tc>
          <w:tcPr>
            <w:tcW w:w="2293" w:type="dxa"/>
            <w:noWrap/>
          </w:tcPr>
          <w:p w14:paraId="0D77D093" w14:textId="081AA2FA"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5.54</w:t>
            </w:r>
          </w:p>
        </w:tc>
      </w:tr>
      <w:tr w:rsidR="00C70619"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5B0BE0D4" w:rsidR="00C70619" w:rsidRPr="00D60997" w:rsidRDefault="00C70619" w:rsidP="00C70619">
            <w:pPr>
              <w:jc w:val="center"/>
              <w:rPr>
                <w:rFonts w:ascii="楷体" w:eastAsia="楷体" w:hAnsi="楷体" w:cs="Times New Roman"/>
                <w:color w:val="000000"/>
              </w:rPr>
            </w:pPr>
            <w:r w:rsidRPr="00C70619">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3F4244CE" w14:textId="7B759E9F" w:rsidR="00C70619" w:rsidRPr="00D60997" w:rsidRDefault="00C70619"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70619">
              <w:rPr>
                <w:rFonts w:ascii="楷体" w:eastAsia="楷体" w:hAnsi="楷体" w:cs="Times New Roman" w:hint="eastAsia"/>
                <w:color w:val="000000"/>
              </w:rPr>
              <w:t>-2.43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7C3D8EAD" w:rsidR="00C70619" w:rsidRPr="00075E3A" w:rsidRDefault="005265DF" w:rsidP="00C706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-2.66</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736395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49121D">
        <w:rPr>
          <w:rFonts w:ascii="Times New Roman" w:eastAsia="楷体" w:hAnsi="Times New Roman" w:cs="Times New Roman" w:hint="eastAsia"/>
          <w:b/>
        </w:rPr>
        <w:t>法国</w:t>
      </w:r>
      <w:r w:rsidR="0049121D">
        <w:rPr>
          <w:rFonts w:ascii="Times New Roman" w:eastAsia="楷体" w:hAnsi="Times New Roman" w:cs="Times New Roman" w:hint="eastAsia"/>
          <w:b/>
        </w:rPr>
        <w:t>CAC40</w:t>
      </w:r>
      <w:r w:rsidR="00ED0B50">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66B9693" w:rsidR="007E1695" w:rsidRPr="00006470" w:rsidRDefault="0049121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AF1BFE1" wp14:editId="06CAA012">
            <wp:extent cx="5706110" cy="27559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FACC25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9A4AEE">
        <w:rPr>
          <w:rFonts w:ascii="Times New Roman" w:eastAsia="楷体" w:hAnsi="Times New Roman" w:cs="Times New Roman" w:hint="eastAsia"/>
          <w:b/>
        </w:rPr>
        <w:t>大幅下降</w:t>
      </w:r>
    </w:p>
    <w:p w14:paraId="3AD41BC7" w14:textId="45FEC80E" w:rsidR="007E1695" w:rsidRPr="00006470" w:rsidRDefault="0040305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8921A23" wp14:editId="0B5138DA">
            <wp:extent cx="6273165" cy="27559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6CB748C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403053">
        <w:rPr>
          <w:rFonts w:ascii="Times New Roman" w:eastAsia="楷体" w:hAnsi="Times New Roman" w:cs="Times New Roman" w:hint="eastAsia"/>
          <w:b/>
        </w:rPr>
        <w:t>流入</w:t>
      </w:r>
      <w:r w:rsidR="00403053">
        <w:rPr>
          <w:rFonts w:ascii="Times New Roman" w:eastAsia="楷体" w:hAnsi="Times New Roman" w:cs="Times New Roman" w:hint="eastAsia"/>
          <w:b/>
        </w:rPr>
        <w:t>66.14</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1E6A1FE" w:rsidR="007E1695" w:rsidRPr="00006470" w:rsidRDefault="00403053">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FC9DC00" wp14:editId="4887EEF2">
            <wp:extent cx="5913755" cy="2987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3ECB4F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026688">
        <w:rPr>
          <w:rFonts w:ascii="Times New Roman" w:eastAsia="楷体" w:hAnsi="Times New Roman" w:cs="Times New Roman" w:hint="eastAsia"/>
          <w:b/>
          <w:color w:val="000000" w:themeColor="text1"/>
        </w:rPr>
        <w:t>510.38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026688">
        <w:rPr>
          <w:rFonts w:ascii="Times New Roman" w:eastAsia="楷体" w:hAnsi="Times New Roman" w:cs="Times New Roman" w:hint="eastAsia"/>
          <w:b/>
        </w:rPr>
        <w:t>大</w:t>
      </w:r>
      <w:r w:rsidR="0034089A">
        <w:rPr>
          <w:rFonts w:ascii="Times New Roman" w:eastAsia="楷体" w:hAnsi="Times New Roman" w:cs="Times New Roman" w:hint="eastAsia"/>
          <w:b/>
        </w:rPr>
        <w:t>幅</w:t>
      </w:r>
      <w:r w:rsidR="00AF0D52">
        <w:rPr>
          <w:rFonts w:ascii="Times New Roman" w:eastAsia="楷体" w:hAnsi="Times New Roman" w:cs="Times New Roman" w:hint="eastAsia"/>
          <w:b/>
        </w:rPr>
        <w:t>减少</w:t>
      </w:r>
    </w:p>
    <w:p w14:paraId="3ABC9C3D" w14:textId="052A2DB9" w:rsidR="007E1695" w:rsidRPr="00006470" w:rsidRDefault="00026688"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38E4A0F" wp14:editId="732FA06B">
            <wp:extent cx="5895340" cy="29324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1A6DCD2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403053">
        <w:rPr>
          <w:rFonts w:ascii="Times New Roman" w:eastAsia="楷体" w:hAnsi="Times New Roman" w:cs="Times New Roman" w:hint="eastAsia"/>
          <w:b/>
        </w:rPr>
        <w:t>103.38</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9A4AEE">
        <w:rPr>
          <w:rFonts w:ascii="Times New Roman" w:eastAsia="楷体" w:hAnsi="Times New Roman" w:cs="Times New Roman" w:hint="eastAsia"/>
          <w:b/>
        </w:rPr>
        <w:t>大幅</w:t>
      </w:r>
      <w:r w:rsidR="00ED0B50">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1A7FCFA4" w:rsidR="007E1695" w:rsidRPr="00006470" w:rsidRDefault="00403053"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277D0C0" wp14:editId="745275D8">
            <wp:extent cx="6303645" cy="2682240"/>
            <wp:effectExtent l="0" t="0" r="1905"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2DE228C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3</w:t>
      </w:r>
      <w:r w:rsidRPr="00006470">
        <w:rPr>
          <w:rFonts w:ascii="Times New Roman" w:eastAsia="楷体" w:hAnsi="Times New Roman" w:cs="Times New Roman"/>
          <w:b/>
        </w:rPr>
        <w:t>月最新募资合计</w:t>
      </w:r>
      <w:r w:rsidR="00403053">
        <w:rPr>
          <w:rFonts w:ascii="Times New Roman" w:eastAsia="楷体" w:hAnsi="Times New Roman" w:cs="Times New Roman" w:hint="eastAsia"/>
          <w:b/>
        </w:rPr>
        <w:t>341.01</w:t>
      </w:r>
      <w:r w:rsidRPr="00006470">
        <w:rPr>
          <w:rFonts w:ascii="Times New Roman" w:eastAsia="楷体" w:hAnsi="Times New Roman" w:cs="Times New Roman"/>
          <w:b/>
        </w:rPr>
        <w:t>亿元</w:t>
      </w:r>
    </w:p>
    <w:p w14:paraId="09F800D5" w14:textId="03D028ED" w:rsidR="007E1695" w:rsidRPr="00006470" w:rsidRDefault="0040305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BE6ADFA" wp14:editId="424247FA">
            <wp:extent cx="6383020" cy="3347085"/>
            <wp:effectExtent l="0" t="0" r="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25597713"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026688">
        <w:rPr>
          <w:rFonts w:ascii="Times New Roman" w:eastAsia="楷体" w:hAnsi="Times New Roman" w:cs="Times New Roman" w:hint="eastAsia"/>
          <w:b/>
        </w:rPr>
        <w:t>513.37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026688">
        <w:rPr>
          <w:rFonts w:ascii="Times New Roman" w:eastAsia="楷体" w:hAnsi="Times New Roman" w:cs="Times New Roman" w:hint="eastAsia"/>
          <w:b/>
        </w:rPr>
        <w:t>小幅减少</w:t>
      </w:r>
    </w:p>
    <w:p w14:paraId="110691E2" w14:textId="0C6EA4EB" w:rsidR="00051381" w:rsidRPr="00006470" w:rsidRDefault="00026688"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E7CD2A5" wp14:editId="3522A05B">
            <wp:extent cx="5993130" cy="3347085"/>
            <wp:effectExtent l="0" t="0" r="762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0DDAFF4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57C21">
        <w:rPr>
          <w:rFonts w:ascii="Times New Roman" w:eastAsia="楷体" w:hAnsi="Times New Roman" w:cs="Times New Roman" w:hint="eastAsia"/>
          <w:b/>
        </w:rPr>
        <w:t>减少</w:t>
      </w:r>
      <w:r w:rsidR="00E5327C">
        <w:rPr>
          <w:rFonts w:ascii="Times New Roman" w:eastAsia="楷体" w:hAnsi="Times New Roman" w:cs="Times New Roman" w:hint="eastAsia"/>
          <w:b/>
        </w:rPr>
        <w:t>0.</w:t>
      </w:r>
      <w:r w:rsidR="00026688">
        <w:rPr>
          <w:rFonts w:ascii="Times New Roman" w:eastAsia="楷体" w:hAnsi="Times New Roman" w:cs="Times New Roman" w:hint="eastAsia"/>
          <w:b/>
        </w:rPr>
        <w:t>20</w:t>
      </w:r>
      <w:r w:rsidRPr="00006470">
        <w:rPr>
          <w:rFonts w:ascii="Times New Roman" w:eastAsia="楷体" w:hAnsi="Times New Roman" w:cs="Times New Roman"/>
          <w:b/>
        </w:rPr>
        <w:t>%</w:t>
      </w:r>
      <w:r w:rsidRPr="00006470">
        <w:rPr>
          <w:rFonts w:ascii="Times New Roman" w:eastAsia="楷体" w:hAnsi="Times New Roman" w:cs="Times New Roman"/>
          <w:b/>
        </w:rPr>
        <w:t>，</w:t>
      </w:r>
      <w:r w:rsidR="00657C21">
        <w:rPr>
          <w:rFonts w:ascii="Times New Roman" w:eastAsia="楷体" w:hAnsi="Times New Roman" w:cs="Times New Roman" w:hint="eastAsia"/>
          <w:b/>
        </w:rPr>
        <w:t>维持低位</w:t>
      </w:r>
    </w:p>
    <w:p w14:paraId="7BC7A832" w14:textId="0BC61B57"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B0CF987" wp14:editId="0D8A4001">
            <wp:extent cx="5791835" cy="255460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248A3D4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026688">
        <w:rPr>
          <w:rFonts w:ascii="Times New Roman" w:eastAsia="楷体" w:hAnsi="Times New Roman" w:cs="Times New Roman" w:hint="eastAsia"/>
          <w:b/>
        </w:rPr>
        <w:t>1.70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1DA77E48"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ABBB0CC" wp14:editId="160374E0">
            <wp:extent cx="5791835" cy="25546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7A38E43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2</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026688">
        <w:rPr>
          <w:rFonts w:ascii="Times New Roman" w:eastAsia="楷体" w:hAnsi="Times New Roman" w:cs="Times New Roman" w:hint="eastAsia"/>
          <w:b/>
        </w:rPr>
        <w:t>0.60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2983A0B4"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1A1AA02" wp14:editId="1433FD28">
            <wp:extent cx="5864860" cy="2548255"/>
            <wp:effectExtent l="0" t="0" r="254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25E9936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月社会融资规模</w:t>
      </w:r>
      <w:r w:rsidR="00026688">
        <w:rPr>
          <w:rFonts w:ascii="Times New Roman" w:eastAsia="楷体" w:hAnsi="Times New Roman" w:cs="Times New Roman" w:hint="eastAsia"/>
          <w:b/>
        </w:rPr>
        <w:t>1.71</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同比高增</w:t>
      </w:r>
      <w:r w:rsidR="00026688" w:rsidRPr="00006470">
        <w:rPr>
          <w:rFonts w:ascii="Times New Roman" w:eastAsia="楷体" w:hAnsi="Times New Roman" w:cs="Times New Roman"/>
          <w:b/>
        </w:rPr>
        <w:t xml:space="preserve"> </w:t>
      </w:r>
    </w:p>
    <w:p w14:paraId="6F8BF5F3" w14:textId="7202C806" w:rsidR="007E1695" w:rsidRPr="00006470" w:rsidRDefault="00026688">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2CB2038" wp14:editId="25817218">
            <wp:extent cx="5791835" cy="2548255"/>
            <wp:effectExtent l="0" t="0" r="0"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2D1D8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8</w:t>
      </w:r>
      <w:r w:rsidR="00655868">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BB5CA3A" w:rsidR="007E1695" w:rsidRPr="00006470" w:rsidRDefault="00026688">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504CF3" wp14:editId="38D9198B">
            <wp:extent cx="5864860" cy="256032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19CFEAE8"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352353">
        <w:rPr>
          <w:rFonts w:ascii="Times New Roman" w:eastAsia="楷体" w:hAnsi="Times New Roman" w:cs="Times New Roman" w:hint="eastAsia"/>
          <w:b/>
        </w:rPr>
        <w:t>2</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9</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56062D75" w:rsidR="00971387" w:rsidRPr="00006470" w:rsidRDefault="004B15FF"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D0BC30A" wp14:editId="3F6D0FDB">
            <wp:extent cx="5248910" cy="2944495"/>
            <wp:effectExtent l="0" t="0" r="8890"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877DDF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B15FF">
        <w:rPr>
          <w:rFonts w:ascii="Times New Roman" w:eastAsia="楷体" w:hAnsi="Times New Roman" w:cs="Times New Roman" w:hint="eastAsia"/>
          <w:b/>
        </w:rPr>
        <w:t>4.6</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09889FD9" w:rsidR="00AD4FF0" w:rsidRPr="00006470" w:rsidRDefault="004B15FF"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97A2749" wp14:editId="3C043C43">
            <wp:extent cx="5248910" cy="2932430"/>
            <wp:effectExtent l="0" t="0" r="889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48E1F1F" w14:textId="454992DE" w:rsidR="007E1695" w:rsidRPr="00006470" w:rsidRDefault="00D70AF1" w:rsidP="00D70AF1">
      <w:pPr>
        <w:pStyle w:val="af"/>
        <w:ind w:firstLine="480"/>
        <w:rPr>
          <w:rFonts w:ascii="Times New Roman" w:hAnsi="Times New Roman" w:cs="Times New Roman"/>
          <w:sz w:val="22"/>
        </w:rPr>
      </w:pPr>
      <w:r w:rsidRPr="00644D2B">
        <w:rPr>
          <w:rFonts w:ascii="楷体" w:eastAsia="楷体" w:hAnsi="楷体" w:hint="eastAsia"/>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44D2B">
        <w:rPr>
          <w:rFonts w:ascii="楷体" w:eastAsia="楷体" w:hAnsi="楷体" w:hint="eastAsia"/>
        </w:rPr>
        <w:t>作出</w:t>
      </w:r>
      <w:proofErr w:type="gramEnd"/>
      <w:r w:rsidRPr="00644D2B">
        <w:rPr>
          <w:rFonts w:ascii="楷体" w:eastAsia="楷体" w:hAnsi="楷体" w:hint="eastAsia"/>
        </w:rPr>
        <w:t>调整。2、本报告中的资料、观点和预测等仅供参考，在任何时候均不构成对任何人的个人推荐。市场有风险，投资需谨慎。</w:t>
      </w: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6A2509" w14:textId="77777777" w:rsidR="005D0172" w:rsidRDefault="005D0172">
      <w:pPr>
        <w:spacing w:line="240" w:lineRule="auto"/>
      </w:pPr>
      <w:r>
        <w:separator/>
      </w:r>
    </w:p>
  </w:endnote>
  <w:endnote w:type="continuationSeparator" w:id="0">
    <w:p w14:paraId="08DCDA26" w14:textId="77777777" w:rsidR="005D0172" w:rsidRDefault="005D01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D70AF1">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70AF1">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9FDDD0" w14:textId="77777777" w:rsidR="005D0172" w:rsidRDefault="005D0172">
      <w:pPr>
        <w:spacing w:line="240" w:lineRule="auto"/>
      </w:pPr>
      <w:r>
        <w:separator/>
      </w:r>
    </w:p>
  </w:footnote>
  <w:footnote w:type="continuationSeparator" w:id="0">
    <w:p w14:paraId="2E18BE87" w14:textId="77777777" w:rsidR="005D0172" w:rsidRDefault="005D017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2C"/>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B7"/>
    <w:rsid w:val="004227EB"/>
    <w:rsid w:val="00422C08"/>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172"/>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77E"/>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359"/>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AF1"/>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49CB6F-0A73-43C1-8BDB-243150C0B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445</Words>
  <Characters>2540</Characters>
  <Application>Microsoft Office Word</Application>
  <DocSecurity>0</DocSecurity>
  <Lines>21</Lines>
  <Paragraphs>5</Paragraphs>
  <ScaleCrop>false</ScaleCrop>
  <Company>china</Company>
  <LinksUpToDate>false</LinksUpToDate>
  <CharactersWithSpaces>2980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cp:lastPrinted>2021-03-15T02:46:00Z</cp:lastPrinted>
  <dcterms:created xsi:type="dcterms:W3CDTF">2021-03-15T03:02:00Z</dcterms:created>
  <dcterms:modified xsi:type="dcterms:W3CDTF">2021-03-15T03:02:00Z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